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left"/>
        <w:rPr>
          <w:rFonts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2023年东莞市工业和信息化产业发展专项资金两化融合贯标项目拟入库计划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right"/>
        <w:rPr>
          <w:rFonts w:hint="eastAsia" w:ascii="微软雅黑" w:hAnsi="微软雅黑" w:eastAsia="微软雅黑" w:cs="微软雅黑"/>
          <w:i w:val="0"/>
          <w:iCs w:val="0"/>
          <w:caps w:val="0"/>
          <w:color w:val="000000"/>
          <w:spacing w:val="0"/>
          <w:sz w:val="24"/>
          <w:szCs w:val="24"/>
          <w:bdr w:val="none" w:color="auto" w:sz="0" w:space="0"/>
        </w:rPr>
      </w:pPr>
      <w:r>
        <w:rPr>
          <w:rFonts w:hint="eastAsia" w:ascii="微软雅黑" w:hAnsi="微软雅黑" w:eastAsia="微软雅黑" w:cs="微软雅黑"/>
          <w:i w:val="0"/>
          <w:iCs w:val="0"/>
          <w:caps w:val="0"/>
          <w:color w:val="000000"/>
          <w:spacing w:val="0"/>
          <w:sz w:val="24"/>
          <w:szCs w:val="24"/>
          <w:bdr w:val="none" w:color="auto" w:sz="0" w:space="0"/>
        </w:rPr>
        <w:t>金额单位：万元</w:t>
      </w:r>
      <w:bookmarkStart w:id="0" w:name="_GoBack"/>
      <w:bookmarkEnd w:id="0"/>
    </w:p>
    <w:tbl>
      <w:tblPr>
        <w:tblW w:w="4998"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autofit"/>
        <w:tblCellMar>
          <w:top w:w="0" w:type="dxa"/>
          <w:left w:w="0" w:type="dxa"/>
          <w:bottom w:w="0" w:type="dxa"/>
          <w:right w:w="0" w:type="dxa"/>
        </w:tblCellMar>
      </w:tblPr>
      <w:tblGrid>
        <w:gridCol w:w="750"/>
        <w:gridCol w:w="1528"/>
        <w:gridCol w:w="1897"/>
        <w:gridCol w:w="1290"/>
        <w:gridCol w:w="1767"/>
        <w:gridCol w:w="128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Style w:val="5"/>
                <w:rFonts w:hint="eastAsia" w:ascii="微软雅黑" w:hAnsi="微软雅黑" w:eastAsia="微软雅黑" w:cs="微软雅黑"/>
                <w:b/>
                <w:bCs/>
                <w:i w:val="0"/>
                <w:iCs w:val="0"/>
                <w:caps w:val="0"/>
                <w:color w:val="000000"/>
                <w:spacing w:val="0"/>
                <w:sz w:val="27"/>
                <w:szCs w:val="27"/>
                <w:bdr w:val="none" w:color="auto" w:sz="0" w:space="0"/>
              </w:rPr>
              <w:t>序号</w:t>
            </w:r>
          </w:p>
        </w:tc>
        <w:tc>
          <w:tcPr>
            <w:tcW w:w="961" w:type="pct"/>
            <w:tcBorders>
              <w:top w:val="single" w:color="000000" w:sz="6" w:space="0"/>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Style w:val="5"/>
                <w:rFonts w:hint="eastAsia" w:ascii="微软雅黑" w:hAnsi="微软雅黑" w:eastAsia="微软雅黑" w:cs="微软雅黑"/>
                <w:b/>
                <w:bCs/>
                <w:i w:val="0"/>
                <w:iCs w:val="0"/>
                <w:caps w:val="0"/>
                <w:color w:val="000000"/>
                <w:spacing w:val="0"/>
                <w:sz w:val="27"/>
                <w:szCs w:val="27"/>
                <w:bdr w:val="none" w:color="auto" w:sz="0" w:space="0"/>
              </w:rPr>
              <w:t>申报单位</w:t>
            </w:r>
          </w:p>
        </w:tc>
        <w:tc>
          <w:tcPr>
            <w:tcW w:w="1177" w:type="pct"/>
            <w:tcBorders>
              <w:top w:val="single" w:color="000000" w:sz="6" w:space="0"/>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Style w:val="5"/>
                <w:rFonts w:hint="eastAsia" w:ascii="微软雅黑" w:hAnsi="微软雅黑" w:eastAsia="微软雅黑" w:cs="微软雅黑"/>
                <w:b/>
                <w:bCs/>
                <w:i w:val="0"/>
                <w:iCs w:val="0"/>
                <w:caps w:val="0"/>
                <w:color w:val="000000"/>
                <w:spacing w:val="0"/>
                <w:sz w:val="27"/>
                <w:szCs w:val="27"/>
                <w:bdr w:val="none" w:color="auto" w:sz="0" w:space="0"/>
              </w:rPr>
              <w:t>项目名称</w:t>
            </w:r>
          </w:p>
        </w:tc>
        <w:tc>
          <w:tcPr>
            <w:tcW w:w="614" w:type="pct"/>
            <w:tcBorders>
              <w:top w:val="single" w:color="000000" w:sz="6" w:space="0"/>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Style w:val="5"/>
                <w:rFonts w:hint="eastAsia" w:ascii="微软雅黑" w:hAnsi="微软雅黑" w:eastAsia="微软雅黑" w:cs="微软雅黑"/>
                <w:b/>
                <w:bCs/>
                <w:i w:val="0"/>
                <w:iCs w:val="0"/>
                <w:caps w:val="0"/>
                <w:color w:val="000000"/>
                <w:spacing w:val="0"/>
                <w:sz w:val="27"/>
                <w:szCs w:val="27"/>
                <w:bdr w:val="none" w:color="auto" w:sz="0" w:space="0"/>
              </w:rPr>
              <w:t>所属镇街</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Style w:val="5"/>
                <w:rFonts w:hint="eastAsia" w:ascii="微软雅黑" w:hAnsi="微软雅黑" w:eastAsia="微软雅黑" w:cs="微软雅黑"/>
                <w:b/>
                <w:bCs/>
                <w:i w:val="0"/>
                <w:iCs w:val="0"/>
                <w:caps w:val="0"/>
                <w:color w:val="000000"/>
                <w:spacing w:val="0"/>
                <w:sz w:val="27"/>
                <w:szCs w:val="27"/>
                <w:bdr w:val="none" w:color="auto" w:sz="0" w:space="0"/>
              </w:rPr>
              <w:t>两化融合管理体系贯标评定证书级别</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Style w:val="5"/>
                <w:rFonts w:hint="eastAsia" w:ascii="微软雅黑" w:hAnsi="微软雅黑" w:eastAsia="微软雅黑" w:cs="微软雅黑"/>
                <w:b/>
                <w:bCs/>
                <w:i w:val="0"/>
                <w:iCs w:val="0"/>
                <w:caps w:val="0"/>
                <w:color w:val="000000"/>
                <w:spacing w:val="0"/>
                <w:sz w:val="27"/>
                <w:szCs w:val="27"/>
                <w:bdr w:val="none" w:color="auto" w:sz="0" w:space="0"/>
              </w:rPr>
              <w:t>备注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东莞市琅菱机械有限公司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产供销存财协同管控能力建设相关的两化融合管理活动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东莞市镒辰智造预装配技术有限公司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产供销存财一体化管控能力建设相关的两化融合管理活动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中堂</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东莞深赤湾码头有限公司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装卸作业全过程精细化管控能力建设相关的两化融合管理活动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沙田</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东莞市恒越实业有限公司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产供销一体化管控能力建设相关的两化融合管理活动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广东新创华科环保股份有限公司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环境检测业务全流程管控能力建设相关的两化融合管理活动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东莞海裕百特智能装备有限公司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锂电智能装备研发设计能力建设相关的两化融合管理活动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东莞市欧若拉精密塑料制品有限公司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产供销存财协同管控能力建设相关的两化融合管理活动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广东电将军能源有限公司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产供销存财协同管控能力建设相关的两化融合管理活动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广东必达医疗科技有限公司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产供销存财协同管理能力建设相关的两化融合管理活动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东莞市国梦电机有限公司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产供销存财协同管控能力建设相关的两化融合管理活动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广东创能精密机械有限公司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产供销存财协同管控能力建设相关的两化融合管理活动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广东顺力智能物流装备股份有限公司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个性化订单的快速交付能力建设相关的两化融合管理活动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高埗</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奕东电子科技股份有限公司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基于精密电子零组件产品的高效运营管控能力建设相关的两化融合管理活动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快意电梯股份有限公司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运营管理能力建设相关的两化融合管理活动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虎彩印艺股份有限公司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柔性化生产管控能力建设相关的两化融合管理活动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南兴装备股份有限公司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产供销存财一体化管控能力建设相关的两化融合管理活动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东莞信易电热机械有限公司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产供销存财协同管控能力建设相关的两化融合管理活动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已获2018年两化融合贯标项目资助，补差额。</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32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w:t>
            </w:r>
          </w:p>
        </w:tc>
        <w:tc>
          <w:tcPr>
            <w:tcW w:w="96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东莞新能源科技有限公司</w:t>
            </w:r>
          </w:p>
        </w:tc>
        <w:tc>
          <w:tcPr>
            <w:tcW w:w="1177"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锂电池数字化研发与生产一体化管控能力建设相关的两化融合管理活动</w:t>
            </w:r>
          </w:p>
        </w:tc>
        <w:tc>
          <w:tcPr>
            <w:tcW w:w="614"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1101"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AAA</w:t>
            </w:r>
          </w:p>
        </w:tc>
        <w:tc>
          <w:tcPr>
            <w:tcW w:w="81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已获2018年两化融合贯标项目资助，补差额。</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2F9703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2023-08-29T09:54:16Z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DD44D17DEFAA47998EB4E79840573B3A_12</vt:lpwstr>
  </property>
</Properties>
</file>